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A07" w:rsidRDefault="00DC2AFE">
      <w:pPr>
        <w:jc w:val="left"/>
      </w:pPr>
      <w:bookmarkStart w:id="0" w:name="_GoBack"/>
      <w:bookmarkEnd w:id="0"/>
      <w:r>
        <w:rPr>
          <w:rFonts w:ascii="楷体" w:eastAsia="楷体" w:hAnsi="楷体" w:cs="楷体"/>
          <w:b/>
          <w:bCs/>
          <w:color w:val="FF0000"/>
          <w:kern w:val="0"/>
          <w:sz w:val="72"/>
          <w:szCs w:val="72"/>
          <w:lang w:bidi="ar"/>
        </w:rPr>
        <w:t>中国老科学技术工作者协会</w:t>
      </w:r>
      <w:r>
        <w:rPr>
          <w:rFonts w:ascii="楷体" w:eastAsia="楷体" w:hAnsi="楷体" w:cs="楷体"/>
          <w:b/>
          <w:bCs/>
          <w:color w:val="FF0000"/>
          <w:kern w:val="0"/>
          <w:sz w:val="72"/>
          <w:szCs w:val="72"/>
          <w:lang w:bidi="ar"/>
        </w:rPr>
        <w:t xml:space="preserve"> </w:t>
      </w:r>
    </w:p>
    <w:p w:rsidR="009D1A07" w:rsidRDefault="00DC2AFE">
      <w:pPr>
        <w:spacing w:line="460" w:lineRule="exact"/>
        <w:jc w:val="center"/>
      </w:pPr>
      <w:r>
        <w:rPr>
          <w:rFonts w:ascii="仿宋" w:eastAsia="仿宋" w:hAnsi="仿宋" w:cs="仿宋"/>
          <w:color w:val="000000"/>
          <w:kern w:val="0"/>
          <w:sz w:val="31"/>
          <w:szCs w:val="31"/>
          <w:lang w:bidi="ar"/>
        </w:rPr>
        <w:t>老科协发〔</w:t>
      </w:r>
      <w:r>
        <w:rPr>
          <w:rFonts w:ascii="仿宋" w:eastAsia="仿宋" w:hAnsi="仿宋" w:cs="仿宋" w:hint="eastAsia"/>
          <w:color w:val="000000"/>
          <w:kern w:val="0"/>
          <w:sz w:val="31"/>
          <w:szCs w:val="31"/>
          <w:lang w:bidi="ar"/>
        </w:rPr>
        <w:t>2022</w:t>
      </w:r>
      <w:r>
        <w:rPr>
          <w:rFonts w:ascii="仿宋" w:eastAsia="仿宋" w:hAnsi="仿宋" w:cs="仿宋" w:hint="eastAsia"/>
          <w:color w:val="000000"/>
          <w:kern w:val="0"/>
          <w:sz w:val="31"/>
          <w:szCs w:val="31"/>
          <w:lang w:bidi="ar"/>
        </w:rPr>
        <w:t>〕</w:t>
      </w:r>
      <w:r>
        <w:rPr>
          <w:rFonts w:ascii="仿宋" w:eastAsia="仿宋" w:hAnsi="仿宋" w:cs="仿宋" w:hint="eastAsia"/>
          <w:color w:val="000000"/>
          <w:kern w:val="0"/>
          <w:sz w:val="31"/>
          <w:szCs w:val="31"/>
          <w:lang w:bidi="ar"/>
        </w:rPr>
        <w:t>69</w:t>
      </w:r>
      <w:r>
        <w:rPr>
          <w:rFonts w:ascii="仿宋" w:eastAsia="仿宋" w:hAnsi="仿宋" w:cs="仿宋" w:hint="eastAsia"/>
          <w:color w:val="000000"/>
          <w:kern w:val="0"/>
          <w:sz w:val="31"/>
          <w:szCs w:val="31"/>
          <w:lang w:bidi="ar"/>
        </w:rPr>
        <w:t>号</w:t>
      </w:r>
    </w:p>
    <w:p w:rsidR="009D1A07" w:rsidRDefault="00DC2AFE">
      <w:pPr>
        <w:spacing w:line="460" w:lineRule="exact"/>
        <w:jc w:val="center"/>
        <w:rPr>
          <w:rFonts w:ascii="微软雅黑" w:eastAsia="微软雅黑" w:hAnsi="微软雅黑" w:cs="微软雅黑"/>
          <w:color w:val="FF0000"/>
          <w:kern w:val="0"/>
          <w:sz w:val="43"/>
          <w:szCs w:val="43"/>
          <w:lang w:bidi="ar"/>
        </w:rPr>
      </w:pPr>
      <w:r>
        <w:rPr>
          <w:rFonts w:ascii="微软雅黑" w:eastAsia="微软雅黑" w:hAnsi="微软雅黑" w:cs="微软雅黑" w:hint="eastAsia"/>
          <w:color w:val="FF0000"/>
          <w:kern w:val="0"/>
          <w:sz w:val="43"/>
          <w:szCs w:val="43"/>
          <w:lang w:bidi="ar"/>
        </w:rPr>
        <w:t>———————————————————</w:t>
      </w:r>
    </w:p>
    <w:p w:rsidR="009D1A07" w:rsidRDefault="00DC2AFE">
      <w:pPr>
        <w:spacing w:line="560" w:lineRule="exact"/>
        <w:jc w:val="center"/>
        <w:rPr>
          <w:rFonts w:ascii="宋体" w:hAnsi="宋体" w:cs="宋体"/>
          <w:b/>
          <w:bCs/>
        </w:rPr>
      </w:pPr>
      <w:r>
        <w:rPr>
          <w:rFonts w:ascii="宋体" w:hAnsi="宋体" w:cs="宋体" w:hint="eastAsia"/>
          <w:b/>
          <w:bCs/>
          <w:color w:val="000000"/>
          <w:kern w:val="0"/>
          <w:sz w:val="43"/>
          <w:szCs w:val="43"/>
          <w:lang w:bidi="ar"/>
        </w:rPr>
        <w:t>关于印发《中国老科协关于认真学习</w:t>
      </w:r>
    </w:p>
    <w:p w:rsidR="009D1A07" w:rsidRDefault="00DC2AFE">
      <w:pPr>
        <w:spacing w:line="560" w:lineRule="exact"/>
        <w:jc w:val="center"/>
        <w:rPr>
          <w:rFonts w:ascii="宋体" w:hAnsi="宋体" w:cs="宋体"/>
          <w:b/>
          <w:bCs/>
          <w:color w:val="000000"/>
          <w:kern w:val="0"/>
          <w:sz w:val="43"/>
          <w:szCs w:val="43"/>
          <w:lang w:bidi="ar"/>
        </w:rPr>
      </w:pPr>
      <w:r>
        <w:rPr>
          <w:rFonts w:ascii="宋体" w:hAnsi="宋体" w:cs="宋体" w:hint="eastAsia"/>
          <w:b/>
          <w:bCs/>
          <w:color w:val="000000"/>
          <w:kern w:val="0"/>
          <w:sz w:val="43"/>
          <w:szCs w:val="43"/>
          <w:lang w:bidi="ar"/>
        </w:rPr>
        <w:t>宣传贯彻党的二十大精神工作方案》的通知</w:t>
      </w:r>
    </w:p>
    <w:p w:rsidR="009D1A07" w:rsidRDefault="009D1A07">
      <w:pPr>
        <w:pStyle w:val="a0"/>
        <w:spacing w:before="0" w:line="240" w:lineRule="auto"/>
      </w:pPr>
    </w:p>
    <w:p w:rsidR="009D1A07" w:rsidRDefault="00DC2AFE">
      <w:pPr>
        <w:jc w:val="left"/>
      </w:pPr>
      <w:r>
        <w:rPr>
          <w:rFonts w:ascii="仿宋" w:eastAsia="仿宋" w:hAnsi="仿宋" w:cs="仿宋" w:hint="eastAsia"/>
          <w:color w:val="000000"/>
          <w:kern w:val="0"/>
          <w:sz w:val="31"/>
          <w:szCs w:val="31"/>
          <w:lang w:bidi="ar"/>
        </w:rPr>
        <w:t>中国老科协各分会、各团体会员单位：</w:t>
      </w:r>
    </w:p>
    <w:p w:rsidR="009D1A07" w:rsidRDefault="00DC2AFE">
      <w:pPr>
        <w:ind w:firstLineChars="200" w:firstLine="620"/>
        <w:jc w:val="left"/>
      </w:pPr>
      <w:r>
        <w:rPr>
          <w:rFonts w:ascii="仿宋" w:eastAsia="仿宋" w:hAnsi="仿宋" w:cs="仿宋" w:hint="eastAsia"/>
          <w:color w:val="000000"/>
          <w:kern w:val="0"/>
          <w:sz w:val="31"/>
          <w:szCs w:val="31"/>
          <w:lang w:bidi="ar"/>
        </w:rPr>
        <w:t>党的二十大是在全党全国各族人民迈上全面建设社会主义现代化国家新征程、向第二个百年奋斗目标进军的关键时刻召开的一次十分重要的大会。认真学习宣传贯彻党的二十大精神是老科协组织当前首要的政治任务。为深入学习宣传贯彻党的二十大精神、掀起老科协组织学习热潮，特制定《中国老科协关于认真学习宣传贯彻党的二十大精神工作方案》，现予印发。请结合各自实际，研究细化落实举措，把党的二十大提出的目标任务落到老科协工作实处。</w:t>
      </w:r>
    </w:p>
    <w:p w:rsidR="009D1A07" w:rsidRDefault="009D1A07">
      <w:pPr>
        <w:ind w:firstLineChars="1300" w:firstLine="4030"/>
        <w:jc w:val="left"/>
        <w:rPr>
          <w:rFonts w:ascii="仿宋" w:eastAsia="仿宋" w:hAnsi="仿宋" w:cs="仿宋"/>
          <w:color w:val="000000"/>
          <w:kern w:val="0"/>
          <w:sz w:val="31"/>
          <w:szCs w:val="31"/>
          <w:lang w:bidi="ar"/>
        </w:rPr>
      </w:pPr>
    </w:p>
    <w:p w:rsidR="009D1A07" w:rsidRDefault="00DC2AFE">
      <w:pPr>
        <w:ind w:firstLineChars="1300" w:firstLine="4030"/>
        <w:jc w:val="left"/>
      </w:pPr>
      <w:r>
        <w:rPr>
          <w:rFonts w:ascii="仿宋" w:eastAsia="仿宋" w:hAnsi="仿宋" w:cs="仿宋" w:hint="eastAsia"/>
          <w:color w:val="000000"/>
          <w:kern w:val="0"/>
          <w:sz w:val="31"/>
          <w:szCs w:val="31"/>
          <w:lang w:bidi="ar"/>
        </w:rPr>
        <w:t>中国老科学技术工作者协会</w:t>
      </w:r>
      <w:r>
        <w:rPr>
          <w:rFonts w:ascii="仿宋" w:eastAsia="仿宋" w:hAnsi="仿宋" w:cs="仿宋" w:hint="eastAsia"/>
          <w:color w:val="000000"/>
          <w:kern w:val="0"/>
          <w:sz w:val="31"/>
          <w:szCs w:val="31"/>
          <w:lang w:bidi="ar"/>
        </w:rPr>
        <w:t xml:space="preserve"> </w:t>
      </w:r>
    </w:p>
    <w:p w:rsidR="009D1A07" w:rsidRDefault="00DC2AFE">
      <w:pPr>
        <w:ind w:firstLineChars="1500" w:firstLine="4650"/>
        <w:jc w:val="left"/>
        <w:rPr>
          <w:rFonts w:ascii="仿宋" w:eastAsia="仿宋" w:hAnsi="仿宋" w:cs="仿宋"/>
          <w:color w:val="000000"/>
          <w:kern w:val="0"/>
          <w:sz w:val="31"/>
          <w:szCs w:val="31"/>
          <w:lang w:bidi="ar"/>
        </w:rPr>
      </w:pPr>
      <w:r>
        <w:rPr>
          <w:rFonts w:ascii="仿宋" w:eastAsia="仿宋" w:hAnsi="仿宋" w:cs="仿宋" w:hint="eastAsia"/>
          <w:color w:val="000000"/>
          <w:kern w:val="0"/>
          <w:sz w:val="31"/>
          <w:szCs w:val="31"/>
          <w:lang w:bidi="ar"/>
        </w:rPr>
        <w:t xml:space="preserve">2022 </w:t>
      </w:r>
      <w:r>
        <w:rPr>
          <w:rFonts w:ascii="仿宋" w:eastAsia="仿宋" w:hAnsi="仿宋" w:cs="仿宋" w:hint="eastAsia"/>
          <w:color w:val="000000"/>
          <w:kern w:val="0"/>
          <w:sz w:val="31"/>
          <w:szCs w:val="31"/>
          <w:lang w:bidi="ar"/>
        </w:rPr>
        <w:t>年</w:t>
      </w:r>
      <w:r>
        <w:rPr>
          <w:rFonts w:ascii="仿宋" w:eastAsia="仿宋" w:hAnsi="仿宋" w:cs="仿宋" w:hint="eastAsia"/>
          <w:color w:val="000000"/>
          <w:kern w:val="0"/>
          <w:sz w:val="31"/>
          <w:szCs w:val="31"/>
          <w:lang w:bidi="ar"/>
        </w:rPr>
        <w:t xml:space="preserve"> 11 </w:t>
      </w:r>
      <w:r>
        <w:rPr>
          <w:rFonts w:ascii="仿宋" w:eastAsia="仿宋" w:hAnsi="仿宋" w:cs="仿宋" w:hint="eastAsia"/>
          <w:color w:val="000000"/>
          <w:kern w:val="0"/>
          <w:sz w:val="31"/>
          <w:szCs w:val="31"/>
          <w:lang w:bidi="ar"/>
        </w:rPr>
        <w:t>月</w:t>
      </w:r>
      <w:r>
        <w:rPr>
          <w:rFonts w:ascii="仿宋" w:eastAsia="仿宋" w:hAnsi="仿宋" w:cs="仿宋" w:hint="eastAsia"/>
          <w:color w:val="000000"/>
          <w:kern w:val="0"/>
          <w:sz w:val="31"/>
          <w:szCs w:val="31"/>
          <w:lang w:bidi="ar"/>
        </w:rPr>
        <w:t xml:space="preserve"> 30 </w:t>
      </w:r>
      <w:r>
        <w:rPr>
          <w:rFonts w:ascii="仿宋" w:eastAsia="仿宋" w:hAnsi="仿宋" w:cs="仿宋" w:hint="eastAsia"/>
          <w:color w:val="000000"/>
          <w:kern w:val="0"/>
          <w:sz w:val="31"/>
          <w:szCs w:val="31"/>
          <w:lang w:bidi="ar"/>
        </w:rPr>
        <w:t>日</w:t>
      </w:r>
    </w:p>
    <w:p w:rsidR="009D1A07" w:rsidRDefault="009D1A07">
      <w:pPr>
        <w:jc w:val="left"/>
        <w:rPr>
          <w:rFonts w:ascii="微软雅黑" w:eastAsia="微软雅黑" w:hAnsi="微软雅黑" w:cs="微软雅黑"/>
          <w:color w:val="000000"/>
          <w:kern w:val="0"/>
          <w:sz w:val="43"/>
          <w:szCs w:val="43"/>
          <w:lang w:bidi="ar"/>
        </w:rPr>
      </w:pPr>
    </w:p>
    <w:p w:rsidR="009D1A07" w:rsidRDefault="009D1A07">
      <w:pPr>
        <w:spacing w:line="560" w:lineRule="exact"/>
        <w:jc w:val="center"/>
        <w:rPr>
          <w:rFonts w:ascii="微软雅黑" w:eastAsia="微软雅黑" w:hAnsi="微软雅黑" w:cs="微软雅黑"/>
          <w:color w:val="000000"/>
          <w:kern w:val="0"/>
          <w:sz w:val="43"/>
          <w:szCs w:val="43"/>
          <w:lang w:bidi="ar"/>
        </w:rPr>
      </w:pPr>
    </w:p>
    <w:p w:rsidR="009D1A07" w:rsidRDefault="009D1A07">
      <w:pPr>
        <w:spacing w:line="560" w:lineRule="exact"/>
        <w:jc w:val="center"/>
        <w:rPr>
          <w:rFonts w:ascii="微软雅黑" w:eastAsia="微软雅黑" w:hAnsi="微软雅黑" w:cs="微软雅黑"/>
          <w:color w:val="000000"/>
          <w:kern w:val="0"/>
          <w:sz w:val="43"/>
          <w:szCs w:val="43"/>
          <w:lang w:bidi="ar"/>
        </w:rPr>
      </w:pPr>
    </w:p>
    <w:p w:rsidR="009D1A07" w:rsidRDefault="009D1A07">
      <w:pPr>
        <w:spacing w:line="560" w:lineRule="exact"/>
        <w:jc w:val="center"/>
        <w:rPr>
          <w:rFonts w:ascii="微软雅黑" w:eastAsia="微软雅黑" w:hAnsi="微软雅黑" w:cs="微软雅黑"/>
          <w:color w:val="000000"/>
          <w:kern w:val="0"/>
          <w:sz w:val="43"/>
          <w:szCs w:val="43"/>
          <w:lang w:bidi="ar"/>
        </w:rPr>
      </w:pPr>
    </w:p>
    <w:p w:rsidR="009D1A07" w:rsidRDefault="009D1A07">
      <w:pPr>
        <w:spacing w:line="560" w:lineRule="exact"/>
        <w:jc w:val="center"/>
        <w:rPr>
          <w:rFonts w:ascii="微软雅黑" w:eastAsia="微软雅黑" w:hAnsi="微软雅黑" w:cs="微软雅黑"/>
          <w:color w:val="000000"/>
          <w:kern w:val="0"/>
          <w:sz w:val="43"/>
          <w:szCs w:val="43"/>
          <w:lang w:bidi="ar"/>
        </w:rPr>
      </w:pPr>
    </w:p>
    <w:p w:rsidR="009D1A07" w:rsidRDefault="009D1A07">
      <w:pPr>
        <w:spacing w:line="560" w:lineRule="exact"/>
        <w:jc w:val="center"/>
        <w:rPr>
          <w:rFonts w:ascii="微软雅黑" w:eastAsia="微软雅黑" w:hAnsi="微软雅黑" w:cs="微软雅黑"/>
          <w:color w:val="000000"/>
          <w:kern w:val="0"/>
          <w:sz w:val="43"/>
          <w:szCs w:val="43"/>
          <w:lang w:bidi="ar"/>
        </w:rPr>
      </w:pPr>
    </w:p>
    <w:p w:rsidR="009D1A07" w:rsidRDefault="00DC2AFE">
      <w:pPr>
        <w:spacing w:line="560" w:lineRule="exact"/>
        <w:jc w:val="center"/>
      </w:pPr>
      <w:r>
        <w:rPr>
          <w:rFonts w:ascii="微软雅黑" w:eastAsia="微软雅黑" w:hAnsi="微软雅黑" w:cs="微软雅黑" w:hint="eastAsia"/>
          <w:color w:val="000000"/>
          <w:kern w:val="0"/>
          <w:sz w:val="43"/>
          <w:szCs w:val="43"/>
          <w:lang w:bidi="ar"/>
        </w:rPr>
        <w:t>中国老科协关于认真学习宣传贯彻</w:t>
      </w:r>
    </w:p>
    <w:p w:rsidR="009D1A07" w:rsidRDefault="00DC2AFE">
      <w:pPr>
        <w:spacing w:line="560" w:lineRule="exact"/>
        <w:jc w:val="center"/>
        <w:rPr>
          <w:rFonts w:ascii="微软雅黑" w:eastAsia="微软雅黑" w:hAnsi="微软雅黑" w:cs="微软雅黑"/>
          <w:color w:val="000000"/>
          <w:kern w:val="0"/>
          <w:sz w:val="43"/>
          <w:szCs w:val="43"/>
          <w:lang w:bidi="ar"/>
        </w:rPr>
      </w:pPr>
      <w:r>
        <w:rPr>
          <w:rFonts w:ascii="微软雅黑" w:eastAsia="微软雅黑" w:hAnsi="微软雅黑" w:cs="微软雅黑" w:hint="eastAsia"/>
          <w:color w:val="000000"/>
          <w:kern w:val="0"/>
          <w:sz w:val="43"/>
          <w:szCs w:val="43"/>
          <w:lang w:bidi="ar"/>
        </w:rPr>
        <w:t>党的二十大精神工作方案</w:t>
      </w:r>
    </w:p>
    <w:p w:rsidR="009D1A07" w:rsidRDefault="009D1A07">
      <w:pPr>
        <w:pStyle w:val="a0"/>
        <w:spacing w:before="0" w:line="240" w:lineRule="auto"/>
      </w:pPr>
    </w:p>
    <w:p w:rsidR="009D1A07" w:rsidRDefault="00DC2AFE">
      <w:pPr>
        <w:ind w:firstLineChars="200" w:firstLine="620"/>
        <w:jc w:val="left"/>
      </w:pPr>
      <w:r>
        <w:rPr>
          <w:rFonts w:ascii="仿宋" w:eastAsia="仿宋" w:hAnsi="仿宋" w:cs="仿宋" w:hint="eastAsia"/>
          <w:color w:val="000000"/>
          <w:kern w:val="0"/>
          <w:sz w:val="31"/>
          <w:szCs w:val="31"/>
          <w:lang w:bidi="ar"/>
        </w:rPr>
        <w:t>根据《中共中央关于认真学习宣传贯彻党的二十大精神的决定》和《中国科协关于认真学习宣传贯彻党的二十大精神工作方案》要求，为深入学习宣传贯彻党的二十大精神、迅速掀起学习热潮，把广大老科技工作者的思想和行动统一到党的二十大精神上来，把力量凝聚到党的二十大确定的各项任务上来，制定工作方案如下。</w:t>
      </w:r>
    </w:p>
    <w:p w:rsidR="009D1A07" w:rsidRDefault="00DC2AFE">
      <w:pPr>
        <w:ind w:firstLineChars="200" w:firstLine="620"/>
        <w:jc w:val="left"/>
      </w:pPr>
      <w:r>
        <w:rPr>
          <w:rFonts w:ascii="黑体" w:eastAsia="黑体" w:hAnsi="宋体" w:cs="黑体"/>
          <w:color w:val="000000"/>
          <w:kern w:val="0"/>
          <w:sz w:val="31"/>
          <w:szCs w:val="31"/>
          <w:lang w:bidi="ar"/>
        </w:rPr>
        <w:t>一、指导思想</w:t>
      </w:r>
    </w:p>
    <w:p w:rsidR="009D1A07" w:rsidRDefault="00DC2AFE">
      <w:pPr>
        <w:ind w:firstLineChars="200" w:firstLine="620"/>
        <w:jc w:val="left"/>
      </w:pPr>
      <w:r>
        <w:rPr>
          <w:rFonts w:ascii="仿宋" w:eastAsia="仿宋" w:hAnsi="仿宋" w:cs="仿宋" w:hint="eastAsia"/>
          <w:color w:val="000000"/>
          <w:kern w:val="0"/>
          <w:sz w:val="31"/>
          <w:szCs w:val="31"/>
          <w:lang w:bidi="ar"/>
        </w:rPr>
        <w:t>高举中国特色社会主义伟大旗帜，全面贯彻习近平新时代中国特色社会主义思想，深刻领悟党的二十大提出的新思路、新战略、新举措，更加自觉地维护习近平总书记党中央的核心、全党的核心地位，更加自觉</w:t>
      </w:r>
      <w:r>
        <w:rPr>
          <w:rFonts w:ascii="仿宋" w:eastAsia="仿宋" w:hAnsi="仿宋" w:cs="仿宋" w:hint="eastAsia"/>
          <w:color w:val="000000"/>
          <w:kern w:val="0"/>
          <w:sz w:val="31"/>
          <w:szCs w:val="31"/>
          <w:lang w:bidi="ar"/>
        </w:rPr>
        <w:t>地维护以习近平同志为核心的党中央权威和集中统一领导，进一步提高政治判断力、政治领悟力、政治执行力，在中国式现代化进程中牢牢把握老科协组织的时代方位和改革建设方向，团结凝聚广大老科技工作者自信自强、守正创新，踔厉奋发、勇毅前行，为全面建设社会主义现代化国家、全面推进中华民族伟大复兴继续发光发热，贡献智慧和力量。</w:t>
      </w:r>
    </w:p>
    <w:p w:rsidR="009D1A07" w:rsidRDefault="00DC2AFE">
      <w:pPr>
        <w:ind w:firstLineChars="200" w:firstLine="620"/>
        <w:jc w:val="left"/>
      </w:pPr>
      <w:r>
        <w:rPr>
          <w:rFonts w:ascii="黑体" w:eastAsia="黑体" w:hAnsi="宋体" w:cs="黑体" w:hint="eastAsia"/>
          <w:color w:val="000000"/>
          <w:kern w:val="0"/>
          <w:sz w:val="31"/>
          <w:szCs w:val="31"/>
          <w:lang w:bidi="ar"/>
        </w:rPr>
        <w:t>二、重要意义</w:t>
      </w:r>
      <w:r>
        <w:rPr>
          <w:rFonts w:ascii="黑体" w:eastAsia="黑体" w:hAnsi="宋体" w:cs="黑体" w:hint="eastAsia"/>
          <w:color w:val="000000"/>
          <w:kern w:val="0"/>
          <w:sz w:val="31"/>
          <w:szCs w:val="31"/>
          <w:lang w:bidi="ar"/>
        </w:rPr>
        <w:t xml:space="preserve"> </w:t>
      </w:r>
    </w:p>
    <w:p w:rsidR="009D1A07" w:rsidRDefault="00DC2AFE">
      <w:pPr>
        <w:ind w:firstLineChars="200" w:firstLine="620"/>
        <w:jc w:val="left"/>
      </w:pPr>
      <w:r>
        <w:rPr>
          <w:rFonts w:ascii="仿宋" w:eastAsia="仿宋" w:hAnsi="仿宋" w:cs="仿宋" w:hint="eastAsia"/>
          <w:color w:val="000000"/>
          <w:kern w:val="0"/>
          <w:sz w:val="31"/>
          <w:szCs w:val="31"/>
          <w:lang w:bidi="ar"/>
        </w:rPr>
        <w:lastRenderedPageBreak/>
        <w:t>党的二十大高举中国特色社会主义伟大旗帜，坚持马克思列宁主义、毛泽东思想、邓小平理论、“三个代表”重要思想、科学发展观，全面贯彻习近平新时代中国特色社会主义思想，分析了国际国内形势，提出</w:t>
      </w:r>
      <w:r>
        <w:rPr>
          <w:rFonts w:ascii="仿宋" w:eastAsia="仿宋" w:hAnsi="仿宋" w:cs="仿宋" w:hint="eastAsia"/>
          <w:color w:val="000000"/>
          <w:kern w:val="0"/>
          <w:sz w:val="31"/>
          <w:szCs w:val="31"/>
          <w:lang w:bidi="ar"/>
        </w:rPr>
        <w:t>了党的二十大主题，回顾总结了过去五年的工作和新时代十年的伟大变革，阐述了开辟马克思主义中国化时代化新境界、中国式现代化的中国特色和本质要求等重大问题，对全面建设社会主义现代化国家、全面推进中华民族伟大复兴进行了战略谋划，对统筹推进“五位一体”总体布局、协调推进“四个全面”战略布局作出了全面部署。</w:t>
      </w:r>
    </w:p>
    <w:p w:rsidR="009D1A07" w:rsidRDefault="00DC2AFE">
      <w:pPr>
        <w:jc w:val="left"/>
      </w:pPr>
      <w:r>
        <w:rPr>
          <w:rFonts w:ascii="仿宋" w:eastAsia="仿宋" w:hAnsi="仿宋" w:cs="仿宋" w:hint="eastAsia"/>
          <w:color w:val="000000"/>
          <w:kern w:val="0"/>
          <w:sz w:val="31"/>
          <w:szCs w:val="31"/>
          <w:lang w:bidi="ar"/>
        </w:rPr>
        <w:t>习近平总书记的报告，深刻阐释了新时代坚持和发展中国特色社会主义的一系列重大理论和实践问题，描绘了全面建设社会主义现代化国家、全面推进中华民族伟大复兴的宏伟蓝图，为新时代新征程党和国家事业发展、实现第二个百年奋斗目标</w:t>
      </w:r>
      <w:r>
        <w:rPr>
          <w:rFonts w:ascii="仿宋" w:eastAsia="仿宋" w:hAnsi="仿宋" w:cs="仿宋" w:hint="eastAsia"/>
          <w:color w:val="000000"/>
          <w:kern w:val="0"/>
          <w:sz w:val="31"/>
          <w:szCs w:val="31"/>
          <w:lang w:bidi="ar"/>
        </w:rPr>
        <w:t>指明了前进方向、确立了行动指南，是党团结带领全国各族人民夺取中国特色社会主义新胜利的政治宣言和行动纲领，是马克思主义的纲领性文献。</w:t>
      </w:r>
    </w:p>
    <w:p w:rsidR="009D1A07" w:rsidRDefault="00DC2AFE">
      <w:pPr>
        <w:ind w:firstLineChars="200" w:firstLine="620"/>
        <w:jc w:val="left"/>
      </w:pPr>
      <w:r>
        <w:rPr>
          <w:rFonts w:ascii="仿宋" w:eastAsia="仿宋" w:hAnsi="仿宋" w:cs="仿宋" w:hint="eastAsia"/>
          <w:color w:val="000000"/>
          <w:kern w:val="0"/>
          <w:sz w:val="31"/>
          <w:szCs w:val="31"/>
          <w:lang w:bidi="ar"/>
        </w:rPr>
        <w:t>学习宣传贯彻党的二十大精神是当前和今后一个时期老科协的首要政治任务，要深刻领会党的二十大的主题，深刻领会过去五年的工作和新时代十年的伟大变革，深刻领会开辟马克思主义中国化时代化新境界，深刻领会新时代新征程中国共产党的使命任务，深刻领会中国式现代化的中国特色和本质要求，深刻领会社会主义经济建设、政治建设、文化建设、社会建设、生态文明建设等方面的重大部署，深刻领会教育科技人才、法治</w:t>
      </w:r>
      <w:r>
        <w:rPr>
          <w:rFonts w:ascii="仿宋" w:eastAsia="仿宋" w:hAnsi="仿宋" w:cs="仿宋" w:hint="eastAsia"/>
          <w:color w:val="000000"/>
          <w:kern w:val="0"/>
          <w:sz w:val="31"/>
          <w:szCs w:val="31"/>
          <w:lang w:bidi="ar"/>
        </w:rPr>
        <w:t>建设、国家安全等方面的</w:t>
      </w:r>
      <w:r>
        <w:rPr>
          <w:rFonts w:ascii="仿宋" w:eastAsia="仿宋" w:hAnsi="仿宋" w:cs="仿宋" w:hint="eastAsia"/>
          <w:color w:val="000000"/>
          <w:kern w:val="0"/>
          <w:sz w:val="31"/>
          <w:szCs w:val="31"/>
          <w:lang w:bidi="ar"/>
        </w:rPr>
        <w:lastRenderedPageBreak/>
        <w:t>重大部署，深刻领会国防和军队建设、港澳台工作、外交工作等方面的重大部署，深刻领会坚持党的全面领导和全面从严治党的重大部署。保持清醒坚定、把握历史主动，把广大老科技工作者更加紧密团结在以习近平同志为核心的党中央周围，深入实施科教兴国战略、人才强国战略、创新驱动发展战略，深入实施积极应对人口老龄化国家战略，深化老科协组织改革和发展，有效发挥桥梁纽带作用，更好发挥老科技工作者作用，以高水平科技自立自强续写服务全面现代化建设的新篇章。</w:t>
      </w:r>
    </w:p>
    <w:p w:rsidR="009D1A07" w:rsidRDefault="00DC2AFE">
      <w:pPr>
        <w:ind w:firstLineChars="200" w:firstLine="620"/>
        <w:jc w:val="left"/>
      </w:pPr>
      <w:r>
        <w:rPr>
          <w:rFonts w:ascii="黑体" w:eastAsia="黑体" w:hAnsi="宋体" w:cs="黑体" w:hint="eastAsia"/>
          <w:color w:val="000000"/>
          <w:kern w:val="0"/>
          <w:sz w:val="31"/>
          <w:szCs w:val="31"/>
          <w:lang w:bidi="ar"/>
        </w:rPr>
        <w:t>三、工作安排</w:t>
      </w:r>
      <w:r>
        <w:rPr>
          <w:rFonts w:ascii="黑体" w:eastAsia="黑体" w:hAnsi="宋体" w:cs="黑体" w:hint="eastAsia"/>
          <w:color w:val="000000"/>
          <w:kern w:val="0"/>
          <w:sz w:val="31"/>
          <w:szCs w:val="31"/>
          <w:lang w:bidi="ar"/>
        </w:rPr>
        <w:t xml:space="preserve"> </w:t>
      </w:r>
    </w:p>
    <w:p w:rsidR="009D1A07" w:rsidRDefault="00DC2AFE">
      <w:pPr>
        <w:ind w:firstLineChars="200" w:firstLine="620"/>
        <w:jc w:val="left"/>
      </w:pPr>
      <w:r>
        <w:rPr>
          <w:rFonts w:ascii="楷体" w:eastAsia="楷体" w:hAnsi="楷体" w:cs="楷体" w:hint="eastAsia"/>
          <w:color w:val="000000"/>
          <w:kern w:val="0"/>
          <w:sz w:val="31"/>
          <w:szCs w:val="31"/>
          <w:lang w:bidi="ar"/>
        </w:rPr>
        <w:t>（一）做好统筹部署</w:t>
      </w:r>
      <w:r>
        <w:rPr>
          <w:rFonts w:ascii="楷体" w:eastAsia="楷体" w:hAnsi="楷体" w:cs="楷体" w:hint="eastAsia"/>
          <w:color w:val="000000"/>
          <w:kern w:val="0"/>
          <w:sz w:val="31"/>
          <w:szCs w:val="31"/>
          <w:lang w:bidi="ar"/>
        </w:rPr>
        <w:t xml:space="preserve"> </w:t>
      </w:r>
    </w:p>
    <w:p w:rsidR="009D1A07" w:rsidRDefault="00DC2AFE">
      <w:pPr>
        <w:ind w:firstLineChars="200" w:firstLine="620"/>
        <w:jc w:val="left"/>
      </w:pPr>
      <w:r>
        <w:rPr>
          <w:rFonts w:ascii="仿宋" w:eastAsia="仿宋" w:hAnsi="仿宋" w:cs="仿宋" w:hint="eastAsia"/>
          <w:color w:val="000000"/>
          <w:kern w:val="0"/>
          <w:sz w:val="31"/>
          <w:szCs w:val="31"/>
          <w:lang w:bidi="ar"/>
        </w:rPr>
        <w:t>结合工作实际成立学习宣传贯彻党的二十大精神领导小组，加强顶层设计，建立学习机制，制定学习计划，迅速掀起学习宣传贯彻党的二十大精神的热潮，切实把党的二十大精神落实到老科协事业发展方方面面，做好今年各项工作，安排好今后工作。</w:t>
      </w:r>
    </w:p>
    <w:p w:rsidR="009D1A07" w:rsidRDefault="00DC2AFE">
      <w:pPr>
        <w:ind w:firstLineChars="200" w:firstLine="620"/>
        <w:jc w:val="left"/>
      </w:pPr>
      <w:r>
        <w:rPr>
          <w:rFonts w:ascii="楷体" w:eastAsia="楷体" w:hAnsi="楷体" w:cs="楷体" w:hint="eastAsia"/>
          <w:color w:val="000000"/>
          <w:kern w:val="0"/>
          <w:sz w:val="31"/>
          <w:szCs w:val="31"/>
          <w:lang w:bidi="ar"/>
        </w:rPr>
        <w:t>（二）组织开展学习宣传</w:t>
      </w:r>
    </w:p>
    <w:p w:rsidR="009D1A07" w:rsidRDefault="00DC2AFE">
      <w:pPr>
        <w:ind w:firstLineChars="200" w:firstLine="620"/>
        <w:jc w:val="left"/>
      </w:pPr>
      <w:r>
        <w:rPr>
          <w:rFonts w:ascii="仿宋" w:eastAsia="仿宋" w:hAnsi="仿宋" w:cs="仿宋" w:hint="eastAsia"/>
          <w:color w:val="000000"/>
          <w:kern w:val="0"/>
          <w:sz w:val="31"/>
          <w:szCs w:val="31"/>
          <w:lang w:bidi="ar"/>
        </w:rPr>
        <w:t>会长、副会长、党委书记带头学习，组织老科技工作者、老科协工作人员认真学习、深入学习，把学习党的二十大精神作为重点内容，专题学习，原原本本、逐字逐句学习党的二十大报告和党章，学习习近平总书记在党的二十届一中全会上的重要讲话精神。在网站、公众号等宣传阵地开设学习专栏，在</w:t>
      </w:r>
      <w:r>
        <w:rPr>
          <w:rFonts w:ascii="仿宋" w:eastAsia="仿宋" w:hAnsi="仿宋" w:cs="仿宋" w:hint="eastAsia"/>
          <w:color w:val="000000"/>
          <w:kern w:val="0"/>
          <w:sz w:val="31"/>
          <w:szCs w:val="31"/>
          <w:lang w:bidi="ar"/>
        </w:rPr>
        <w:t>科协系统网上党校组织参加“学习贯彻党的二十大精神在线学习”专栏课程。老科协党校举办学习宣传贯彻党的二十大精神专题学习班、秘书长培训会、</w:t>
      </w:r>
      <w:r>
        <w:rPr>
          <w:rFonts w:ascii="仿宋" w:eastAsia="仿宋" w:hAnsi="仿宋" w:cs="仿宋" w:hint="eastAsia"/>
          <w:color w:val="000000"/>
          <w:kern w:val="0"/>
          <w:sz w:val="31"/>
          <w:szCs w:val="31"/>
          <w:lang w:bidi="ar"/>
        </w:rPr>
        <w:lastRenderedPageBreak/>
        <w:t>老年科技大学师资培训班等。通过举办专题研修班、辅导报告会、交流座谈会等系列活动，深入学习贯彻党的二十大精神。</w:t>
      </w:r>
    </w:p>
    <w:p w:rsidR="009D1A07" w:rsidRDefault="00DC2AFE">
      <w:pPr>
        <w:ind w:firstLineChars="200" w:firstLine="620"/>
        <w:jc w:val="left"/>
      </w:pPr>
      <w:r>
        <w:rPr>
          <w:rFonts w:ascii="楷体" w:eastAsia="楷体" w:hAnsi="楷体" w:cs="楷体" w:hint="eastAsia"/>
          <w:color w:val="000000"/>
          <w:kern w:val="0"/>
          <w:sz w:val="31"/>
          <w:szCs w:val="31"/>
          <w:lang w:bidi="ar"/>
        </w:rPr>
        <w:t>（三）开展“党的二十大代表进协会”系列活动</w:t>
      </w:r>
    </w:p>
    <w:p w:rsidR="009D1A07" w:rsidRDefault="00DC2AFE">
      <w:pPr>
        <w:ind w:firstLineChars="200" w:firstLine="620"/>
        <w:jc w:val="left"/>
      </w:pPr>
      <w:r>
        <w:rPr>
          <w:rFonts w:ascii="仿宋" w:eastAsia="仿宋" w:hAnsi="仿宋" w:cs="仿宋" w:hint="eastAsia"/>
          <w:color w:val="000000"/>
          <w:kern w:val="0"/>
          <w:sz w:val="31"/>
          <w:szCs w:val="31"/>
          <w:lang w:bidi="ar"/>
        </w:rPr>
        <w:t>组织开展“党的二十大代表进协会”系列活动，邀请党的二十大代表深入协会，以实地调研、现场座谈等形式宣讲党的二十大精神。在会长办公会、常务理事会、党委会、工作交流会、大讲堂、学术交流等会议和活动上积极开展宣讲，开展交流学习，引导</w:t>
      </w:r>
      <w:r>
        <w:rPr>
          <w:rFonts w:ascii="仿宋" w:eastAsia="仿宋" w:hAnsi="仿宋" w:cs="仿宋" w:hint="eastAsia"/>
          <w:color w:val="000000"/>
          <w:kern w:val="0"/>
          <w:sz w:val="31"/>
          <w:szCs w:val="31"/>
          <w:lang w:bidi="ar"/>
        </w:rPr>
        <w:t>广大科技工作者深入学习领会党的二十大精神。</w:t>
      </w:r>
    </w:p>
    <w:p w:rsidR="009D1A07" w:rsidRDefault="00DC2AFE">
      <w:pPr>
        <w:ind w:firstLineChars="200" w:firstLine="620"/>
        <w:jc w:val="left"/>
      </w:pPr>
      <w:r>
        <w:rPr>
          <w:rFonts w:ascii="楷体" w:eastAsia="楷体" w:hAnsi="楷体" w:cs="楷体" w:hint="eastAsia"/>
          <w:color w:val="000000"/>
          <w:kern w:val="0"/>
          <w:sz w:val="31"/>
          <w:szCs w:val="31"/>
          <w:lang w:bidi="ar"/>
        </w:rPr>
        <w:t>（四）贯彻落实党的二十大决策部署</w:t>
      </w:r>
      <w:r>
        <w:rPr>
          <w:rFonts w:ascii="楷体" w:eastAsia="楷体" w:hAnsi="楷体" w:cs="楷体" w:hint="eastAsia"/>
          <w:color w:val="000000"/>
          <w:kern w:val="0"/>
          <w:sz w:val="31"/>
          <w:szCs w:val="31"/>
          <w:lang w:bidi="ar"/>
        </w:rPr>
        <w:t xml:space="preserve"> </w:t>
      </w:r>
    </w:p>
    <w:p w:rsidR="009D1A07" w:rsidRDefault="00DC2AFE">
      <w:pPr>
        <w:ind w:firstLineChars="200" w:firstLine="620"/>
        <w:jc w:val="left"/>
      </w:pPr>
      <w:r>
        <w:rPr>
          <w:rFonts w:ascii="仿宋" w:eastAsia="仿宋" w:hAnsi="仿宋" w:cs="仿宋" w:hint="eastAsia"/>
          <w:color w:val="000000"/>
          <w:kern w:val="0"/>
          <w:sz w:val="31"/>
          <w:szCs w:val="31"/>
          <w:lang w:bidi="ar"/>
        </w:rPr>
        <w:t>全面落实党的二十大对科技群团改革发展的新要求，以更高的政治站位，在中国式现代化伟大进程中把握老科协组织的时代方向、功能定位，谋划好老科协事业发展的新理念、新思路、新举措，以更具前瞻性的战略谋划和系统设计全面深化老科协系统改革和建设。一是推动有关部门联合出台《关于进一步加强和改进新时代老科学技术工作者协会工作</w:t>
      </w:r>
      <w:r>
        <w:rPr>
          <w:rFonts w:ascii="仿宋" w:eastAsia="仿宋" w:hAnsi="仿宋" w:cs="仿宋" w:hint="eastAsia"/>
          <w:color w:val="000000"/>
          <w:kern w:val="0"/>
          <w:sz w:val="31"/>
          <w:szCs w:val="31"/>
          <w:lang w:bidi="ar"/>
        </w:rPr>
        <w:t xml:space="preserve"> </w:t>
      </w:r>
      <w:r>
        <w:rPr>
          <w:rFonts w:ascii="仿宋" w:eastAsia="仿宋" w:hAnsi="仿宋" w:cs="仿宋" w:hint="eastAsia"/>
          <w:color w:val="000000"/>
          <w:kern w:val="0"/>
          <w:sz w:val="31"/>
          <w:szCs w:val="31"/>
          <w:lang w:bidi="ar"/>
        </w:rPr>
        <w:t>更好发挥老科技工作者作用的意见》，为老科协组织更加有效发挥桥梁纽带作用，为老科技工作者充分发挥作用创造良好条件。二是适时印</w:t>
      </w:r>
      <w:r>
        <w:rPr>
          <w:rFonts w:ascii="仿宋" w:eastAsia="仿宋" w:hAnsi="仿宋" w:cs="仿宋" w:hint="eastAsia"/>
          <w:color w:val="000000"/>
          <w:kern w:val="0"/>
          <w:sz w:val="31"/>
          <w:szCs w:val="31"/>
          <w:lang w:bidi="ar"/>
        </w:rPr>
        <w:t>发《中国老科协事业发展行动计划（</w:t>
      </w:r>
      <w:r>
        <w:rPr>
          <w:rFonts w:ascii="仿宋" w:eastAsia="仿宋" w:hAnsi="仿宋" w:cs="仿宋" w:hint="eastAsia"/>
          <w:color w:val="000000"/>
          <w:kern w:val="0"/>
          <w:sz w:val="31"/>
          <w:szCs w:val="31"/>
          <w:lang w:bidi="ar"/>
        </w:rPr>
        <w:t>2023-2027</w:t>
      </w:r>
      <w:r>
        <w:rPr>
          <w:rFonts w:ascii="仿宋" w:eastAsia="仿宋" w:hAnsi="仿宋" w:cs="仿宋" w:hint="eastAsia"/>
          <w:color w:val="000000"/>
          <w:kern w:val="0"/>
          <w:sz w:val="31"/>
          <w:szCs w:val="31"/>
          <w:lang w:bidi="ar"/>
        </w:rPr>
        <w:t>年）》，全面对标对表党的二十大战略部署，着力提升老科协的群众组织力、战略支撑力、文化传播力、社会影响力和自我发展能力。三是稳步推行《中国老科协创新发展评估指标体系》，对标一流协会建设要求进行自评和组织会员评价，以评促建，进一步优化发展方向，提升组织效能。</w:t>
      </w:r>
    </w:p>
    <w:p w:rsidR="009D1A07" w:rsidRDefault="00DC2AFE">
      <w:pPr>
        <w:ind w:firstLineChars="200" w:firstLine="620"/>
        <w:jc w:val="left"/>
      </w:pPr>
      <w:r>
        <w:rPr>
          <w:rFonts w:ascii="黑体" w:eastAsia="黑体" w:hAnsi="宋体" w:cs="黑体" w:hint="eastAsia"/>
          <w:color w:val="000000"/>
          <w:kern w:val="0"/>
          <w:sz w:val="31"/>
          <w:szCs w:val="31"/>
          <w:lang w:bidi="ar"/>
        </w:rPr>
        <w:lastRenderedPageBreak/>
        <w:t>四、组织实施</w:t>
      </w:r>
    </w:p>
    <w:p w:rsidR="009D1A07" w:rsidRDefault="00DC2AFE">
      <w:pPr>
        <w:ind w:firstLineChars="200" w:firstLine="620"/>
        <w:jc w:val="left"/>
      </w:pPr>
      <w:r>
        <w:rPr>
          <w:rFonts w:ascii="仿宋" w:eastAsia="仿宋" w:hAnsi="仿宋" w:cs="仿宋" w:hint="eastAsia"/>
          <w:color w:val="000000"/>
          <w:kern w:val="0"/>
          <w:sz w:val="31"/>
          <w:szCs w:val="31"/>
          <w:lang w:bidi="ar"/>
        </w:rPr>
        <w:t>老科协组织要积极行动起来，周密计划、精心安排、落实举措，结合学习宣传贯彻党的二十大精神，认真研究谋划明年和未来一段时期的工作，用党的二十大精神指引老科协事业的正确航向，把大会各项要求部署落实到</w:t>
      </w:r>
      <w:r>
        <w:rPr>
          <w:rFonts w:ascii="仿宋" w:eastAsia="仿宋" w:hAnsi="仿宋" w:cs="仿宋" w:hint="eastAsia"/>
          <w:color w:val="000000"/>
          <w:kern w:val="0"/>
          <w:sz w:val="31"/>
          <w:szCs w:val="31"/>
          <w:lang w:bidi="ar"/>
        </w:rPr>
        <w:t>老科协工作各方面、各环节。</w:t>
      </w:r>
    </w:p>
    <w:p w:rsidR="009D1A07" w:rsidRDefault="00DC2AFE">
      <w:pPr>
        <w:ind w:firstLineChars="200" w:firstLine="620"/>
        <w:jc w:val="left"/>
      </w:pPr>
      <w:r>
        <w:rPr>
          <w:rFonts w:ascii="楷体" w:eastAsia="楷体" w:hAnsi="楷体" w:cs="楷体" w:hint="eastAsia"/>
          <w:color w:val="000000"/>
          <w:kern w:val="0"/>
          <w:sz w:val="31"/>
          <w:szCs w:val="31"/>
          <w:lang w:bidi="ar"/>
        </w:rPr>
        <w:t>（一）提高政治站位，深化思想认识</w:t>
      </w:r>
    </w:p>
    <w:p w:rsidR="009D1A07" w:rsidRDefault="00DC2AFE">
      <w:pPr>
        <w:ind w:firstLineChars="200" w:firstLine="620"/>
        <w:jc w:val="left"/>
      </w:pPr>
      <w:r>
        <w:rPr>
          <w:rFonts w:ascii="仿宋" w:eastAsia="仿宋" w:hAnsi="仿宋" w:cs="仿宋" w:hint="eastAsia"/>
          <w:color w:val="000000"/>
          <w:kern w:val="0"/>
          <w:sz w:val="31"/>
          <w:szCs w:val="31"/>
          <w:lang w:bidi="ar"/>
        </w:rPr>
        <w:t>坚持政治引领、知行合一，深刻领悟“两个确立”的决定性意义，增强“四个意识”、坚定“四个自信”、做到“两个维护”，按照习近平总书记“五个牢牢把握”的重要要求，带动老科协组织迅速掀起学习宣传贯彻党的二十大精神的热潮，把思想认识统一到党的二十大要求部署上来，把智慧力量凝聚到党的二十大确定的各项任务上来。</w:t>
      </w:r>
    </w:p>
    <w:p w:rsidR="009D1A07" w:rsidRDefault="00DC2AFE">
      <w:pPr>
        <w:ind w:firstLineChars="200" w:firstLine="620"/>
        <w:jc w:val="left"/>
      </w:pPr>
      <w:r>
        <w:rPr>
          <w:rFonts w:ascii="楷体" w:eastAsia="楷体" w:hAnsi="楷体" w:cs="楷体" w:hint="eastAsia"/>
          <w:color w:val="000000"/>
          <w:kern w:val="0"/>
          <w:sz w:val="31"/>
          <w:szCs w:val="31"/>
          <w:lang w:bidi="ar"/>
        </w:rPr>
        <w:t>（二）完善组织体系，加强自身建设</w:t>
      </w:r>
    </w:p>
    <w:p w:rsidR="009D1A07" w:rsidRDefault="00DC2AFE">
      <w:pPr>
        <w:ind w:firstLineChars="200" w:firstLine="620"/>
        <w:jc w:val="left"/>
      </w:pPr>
      <w:r>
        <w:rPr>
          <w:rFonts w:ascii="仿宋" w:eastAsia="仿宋" w:hAnsi="仿宋" w:cs="仿宋" w:hint="eastAsia"/>
          <w:color w:val="000000"/>
          <w:kern w:val="0"/>
          <w:sz w:val="31"/>
          <w:szCs w:val="31"/>
          <w:lang w:bidi="ar"/>
        </w:rPr>
        <w:t>按照属地党委统一部署、中国老科协有关要求开展工作。各地老科协党组织负责人承担起第一责任人责任，研究制定符合实际的实施</w:t>
      </w:r>
      <w:r>
        <w:rPr>
          <w:rFonts w:ascii="仿宋" w:eastAsia="仿宋" w:hAnsi="仿宋" w:cs="仿宋" w:hint="eastAsia"/>
          <w:color w:val="000000"/>
          <w:kern w:val="0"/>
          <w:sz w:val="31"/>
          <w:szCs w:val="31"/>
          <w:lang w:bidi="ar"/>
        </w:rPr>
        <w:t>方案。认真对标对表，深入研究提出切实可行的工作举措，把党的二十大精神转化为指导实践、推动工作的强大力量。深化协会改革，加强基层组织建设，提升协会治理体系和治理能力现代化水平，优化理事会构成，加强专委会建设，完善议事规则和规章制度，加强分支机构管理与服务，加强专兼职干部队伍建设，切实推进党建强会、组织强会、人才强会，增强服务老科技工作者的本领，建好老科技工作者之家。</w:t>
      </w:r>
    </w:p>
    <w:p w:rsidR="009D1A07" w:rsidRDefault="00DC2AFE">
      <w:pPr>
        <w:ind w:firstLineChars="200" w:firstLine="620"/>
        <w:jc w:val="left"/>
      </w:pPr>
      <w:r>
        <w:rPr>
          <w:rFonts w:ascii="楷体" w:eastAsia="楷体" w:hAnsi="楷体" w:cs="楷体" w:hint="eastAsia"/>
          <w:color w:val="000000"/>
          <w:kern w:val="0"/>
          <w:sz w:val="31"/>
          <w:szCs w:val="31"/>
          <w:lang w:bidi="ar"/>
        </w:rPr>
        <w:lastRenderedPageBreak/>
        <w:t>（三）加强调查研究，为老科技工作者办实事</w:t>
      </w:r>
    </w:p>
    <w:p w:rsidR="009D1A07" w:rsidRDefault="00DC2AFE">
      <w:pPr>
        <w:ind w:firstLineChars="200" w:firstLine="620"/>
        <w:jc w:val="left"/>
      </w:pPr>
      <w:r>
        <w:rPr>
          <w:rFonts w:ascii="仿宋" w:eastAsia="仿宋" w:hAnsi="仿宋" w:cs="仿宋" w:hint="eastAsia"/>
          <w:color w:val="000000"/>
          <w:kern w:val="0"/>
          <w:sz w:val="31"/>
          <w:szCs w:val="31"/>
          <w:lang w:bidi="ar"/>
        </w:rPr>
        <w:t>坚持理论联系实际，深入基层、深入老科技工作者开展调查研究，面向全国老科技工作者开展学习党的二十大精神情况和思想状况抽样调查，掌握老科技工作者思想动态，关心老科技工作者诉求，为老科技工作者人才队伍更好助力国家的科技创新和经济社会发展创造条件。发掘典型人物、先进事迹，讲好老科技工作者故事，把广大老科技工作者紧紧团结在以习近平同志为核心的党中央周围，老有所为、积极作为、有效作为，为民族复兴伟业奉献光和热。</w:t>
      </w:r>
    </w:p>
    <w:p w:rsidR="009D1A07" w:rsidRDefault="00DC2AFE">
      <w:pPr>
        <w:ind w:firstLineChars="200" w:firstLine="620"/>
        <w:jc w:val="left"/>
      </w:pPr>
      <w:r>
        <w:rPr>
          <w:rFonts w:ascii="楷体" w:eastAsia="楷体" w:hAnsi="楷体" w:cs="楷体" w:hint="eastAsia"/>
          <w:color w:val="000000"/>
          <w:kern w:val="0"/>
          <w:sz w:val="31"/>
          <w:szCs w:val="31"/>
          <w:lang w:bidi="ar"/>
        </w:rPr>
        <w:t>（四）做好宣传阐释，营造良好氛围</w:t>
      </w:r>
    </w:p>
    <w:p w:rsidR="009D1A07" w:rsidRDefault="00DC2AFE">
      <w:pPr>
        <w:ind w:firstLineChars="200" w:firstLine="620"/>
        <w:jc w:val="left"/>
      </w:pPr>
      <w:r>
        <w:rPr>
          <w:rFonts w:ascii="仿宋" w:eastAsia="仿宋" w:hAnsi="仿宋" w:cs="仿宋" w:hint="eastAsia"/>
          <w:color w:val="000000"/>
          <w:kern w:val="0"/>
          <w:sz w:val="31"/>
          <w:szCs w:val="31"/>
          <w:lang w:bidi="ar"/>
        </w:rPr>
        <w:t>以多种形式解读、宣讲、传播党的二十大精神，让习近平新时代中国特色社会主义思</w:t>
      </w:r>
      <w:r>
        <w:rPr>
          <w:rFonts w:ascii="仿宋" w:eastAsia="仿宋" w:hAnsi="仿宋" w:cs="仿宋" w:hint="eastAsia"/>
          <w:color w:val="000000"/>
          <w:kern w:val="0"/>
          <w:sz w:val="31"/>
          <w:szCs w:val="31"/>
          <w:lang w:bidi="ar"/>
        </w:rPr>
        <w:t>想入脑入心，武装头脑，深化转化。广泛汇集各地老科协贯彻落实工作举措、经验做法、典型案例，通过主流媒体阵地、新媒体平台等进行宣传展示，有效放大老科协的声音。各地老科协要及时汇集本领域、本地区学习宣传贯彻党的二十大精神工作情况、先进典型，多渠道编发宣传稿件，宣传展示老科协组织贯彻落实党的二十大精神的行动风采，及时报送中国老科协有关工作。</w:t>
      </w:r>
    </w:p>
    <w:sectPr w:rsidR="009D1A07">
      <w:headerReference w:type="default" r:id="rId8"/>
      <w:footerReference w:type="default" r:id="rId9"/>
      <w:pgSz w:w="11906" w:h="16838"/>
      <w:pgMar w:top="1440" w:right="1191" w:bottom="1440" w:left="1191" w:header="851" w:footer="992" w:gutter="454"/>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AFE" w:rsidRDefault="00DC2AFE">
      <w:r>
        <w:separator/>
      </w:r>
    </w:p>
  </w:endnote>
  <w:endnote w:type="continuationSeparator" w:id="0">
    <w:p w:rsidR="00DC2AFE" w:rsidRDefault="00DC2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969739"/>
    </w:sdtPr>
    <w:sdtEndPr/>
    <w:sdtContent>
      <w:p w:rsidR="009D1A07" w:rsidRDefault="00DC2AFE">
        <w:pPr>
          <w:pStyle w:val="a6"/>
          <w:jc w:val="center"/>
        </w:pPr>
        <w:r>
          <w:fldChar w:fldCharType="begin"/>
        </w:r>
        <w:r>
          <w:instrText>PAGE   \* MERGEF</w:instrText>
        </w:r>
        <w:r>
          <w:instrText>ORMAT</w:instrText>
        </w:r>
        <w:r>
          <w:fldChar w:fldCharType="separate"/>
        </w:r>
        <w:r w:rsidR="008E6D5A" w:rsidRPr="008E6D5A">
          <w:rPr>
            <w:noProof/>
            <w:lang w:val="zh-CN"/>
          </w:rPr>
          <w:t>1</w:t>
        </w:r>
        <w:r>
          <w:fldChar w:fldCharType="end"/>
        </w:r>
      </w:p>
    </w:sdtContent>
  </w:sdt>
  <w:p w:rsidR="009D1A07" w:rsidRDefault="009D1A07">
    <w:pPr>
      <w:rPr>
        <w:rStyle w:val="NormalCharacte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AFE" w:rsidRDefault="00DC2AFE">
      <w:r>
        <w:separator/>
      </w:r>
    </w:p>
  </w:footnote>
  <w:footnote w:type="continuationSeparator" w:id="0">
    <w:p w:rsidR="00DC2AFE" w:rsidRDefault="00DC2A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07" w:rsidRDefault="009D1A07">
    <w:pPr>
      <w:pStyle w:val="a8"/>
      <w:pBdr>
        <w:bottom w:val="none" w:sz="0" w:space="0" w:color="000000"/>
      </w:pBdr>
      <w:rPr>
        <w:rStyle w:val="NormalCharacter"/>
      </w:rPr>
    </w:pPr>
  </w:p>
  <w:p w:rsidR="009D1A07" w:rsidRDefault="009D1A07">
    <w:pPr>
      <w:rPr>
        <w:rStyle w:val="NormalCharact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noPunctuationKerning/>
  <w:characterSpacingControl w:val="doNotCompres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5NzRiNjBlNmVhMmRlMmFmNjJkNmU5ZDMxMDU2M2UifQ=="/>
  </w:docVars>
  <w:rsids>
    <w:rsidRoot w:val="002A04BE"/>
    <w:rsid w:val="00000ADA"/>
    <w:rsid w:val="0002529D"/>
    <w:rsid w:val="00037A73"/>
    <w:rsid w:val="00037B9E"/>
    <w:rsid w:val="000420A7"/>
    <w:rsid w:val="00094872"/>
    <w:rsid w:val="000B5925"/>
    <w:rsid w:val="000C6C98"/>
    <w:rsid w:val="000F2E29"/>
    <w:rsid w:val="000F4050"/>
    <w:rsid w:val="00147D65"/>
    <w:rsid w:val="001652AA"/>
    <w:rsid w:val="00191C81"/>
    <w:rsid w:val="001A209B"/>
    <w:rsid w:val="001F1572"/>
    <w:rsid w:val="00214395"/>
    <w:rsid w:val="002157C4"/>
    <w:rsid w:val="00216862"/>
    <w:rsid w:val="002378C7"/>
    <w:rsid w:val="002432DB"/>
    <w:rsid w:val="00251B8E"/>
    <w:rsid w:val="00267419"/>
    <w:rsid w:val="00274948"/>
    <w:rsid w:val="002846D7"/>
    <w:rsid w:val="00295760"/>
    <w:rsid w:val="002A04BE"/>
    <w:rsid w:val="002E221C"/>
    <w:rsid w:val="002E79E3"/>
    <w:rsid w:val="00300F4C"/>
    <w:rsid w:val="0030764E"/>
    <w:rsid w:val="003116D8"/>
    <w:rsid w:val="00326CCB"/>
    <w:rsid w:val="00333704"/>
    <w:rsid w:val="00364E19"/>
    <w:rsid w:val="0037303E"/>
    <w:rsid w:val="00385FFF"/>
    <w:rsid w:val="003B0DE1"/>
    <w:rsid w:val="003B5FE6"/>
    <w:rsid w:val="003C55A2"/>
    <w:rsid w:val="003D32BA"/>
    <w:rsid w:val="003D784E"/>
    <w:rsid w:val="003F25A4"/>
    <w:rsid w:val="003F3BA6"/>
    <w:rsid w:val="003F72B8"/>
    <w:rsid w:val="00432379"/>
    <w:rsid w:val="00436499"/>
    <w:rsid w:val="0043752B"/>
    <w:rsid w:val="00442011"/>
    <w:rsid w:val="004430D2"/>
    <w:rsid w:val="00474C19"/>
    <w:rsid w:val="004A0535"/>
    <w:rsid w:val="004A6C97"/>
    <w:rsid w:val="004B5071"/>
    <w:rsid w:val="004D1AE3"/>
    <w:rsid w:val="004D1DCE"/>
    <w:rsid w:val="004D40CB"/>
    <w:rsid w:val="004D433A"/>
    <w:rsid w:val="004E74E1"/>
    <w:rsid w:val="00502293"/>
    <w:rsid w:val="00505F9F"/>
    <w:rsid w:val="00516892"/>
    <w:rsid w:val="00523629"/>
    <w:rsid w:val="00535FF4"/>
    <w:rsid w:val="00536D7F"/>
    <w:rsid w:val="00542482"/>
    <w:rsid w:val="00581CE0"/>
    <w:rsid w:val="00593E1D"/>
    <w:rsid w:val="005968AC"/>
    <w:rsid w:val="0059763D"/>
    <w:rsid w:val="005B1D5B"/>
    <w:rsid w:val="005B2BD3"/>
    <w:rsid w:val="005D07F4"/>
    <w:rsid w:val="005E3C74"/>
    <w:rsid w:val="006009A4"/>
    <w:rsid w:val="006146C6"/>
    <w:rsid w:val="00615FD9"/>
    <w:rsid w:val="0066058E"/>
    <w:rsid w:val="00662C12"/>
    <w:rsid w:val="00672D32"/>
    <w:rsid w:val="00676731"/>
    <w:rsid w:val="00682532"/>
    <w:rsid w:val="00692F81"/>
    <w:rsid w:val="006E26DC"/>
    <w:rsid w:val="006F246C"/>
    <w:rsid w:val="006F561C"/>
    <w:rsid w:val="0070520E"/>
    <w:rsid w:val="0071319D"/>
    <w:rsid w:val="007649EC"/>
    <w:rsid w:val="00764B29"/>
    <w:rsid w:val="00767A6F"/>
    <w:rsid w:val="00772E1D"/>
    <w:rsid w:val="00775F88"/>
    <w:rsid w:val="00782E68"/>
    <w:rsid w:val="00797C98"/>
    <w:rsid w:val="007A26AD"/>
    <w:rsid w:val="007A2999"/>
    <w:rsid w:val="007B0E2E"/>
    <w:rsid w:val="007B5B25"/>
    <w:rsid w:val="007D374E"/>
    <w:rsid w:val="007D6E43"/>
    <w:rsid w:val="007E0C05"/>
    <w:rsid w:val="0080780A"/>
    <w:rsid w:val="008148BA"/>
    <w:rsid w:val="00820520"/>
    <w:rsid w:val="00824208"/>
    <w:rsid w:val="00845B12"/>
    <w:rsid w:val="008532EE"/>
    <w:rsid w:val="00853542"/>
    <w:rsid w:val="00874F56"/>
    <w:rsid w:val="00886914"/>
    <w:rsid w:val="008962E6"/>
    <w:rsid w:val="008A610B"/>
    <w:rsid w:val="008E1A6C"/>
    <w:rsid w:val="008E6D5A"/>
    <w:rsid w:val="008F3358"/>
    <w:rsid w:val="009006AC"/>
    <w:rsid w:val="00917E83"/>
    <w:rsid w:val="009218DF"/>
    <w:rsid w:val="00925031"/>
    <w:rsid w:val="0094475C"/>
    <w:rsid w:val="0095049D"/>
    <w:rsid w:val="00957B2B"/>
    <w:rsid w:val="0096578C"/>
    <w:rsid w:val="009766F8"/>
    <w:rsid w:val="0098476F"/>
    <w:rsid w:val="009865B0"/>
    <w:rsid w:val="00994070"/>
    <w:rsid w:val="009948BD"/>
    <w:rsid w:val="009B6473"/>
    <w:rsid w:val="009B7C4E"/>
    <w:rsid w:val="009D1A07"/>
    <w:rsid w:val="00A15820"/>
    <w:rsid w:val="00A315BC"/>
    <w:rsid w:val="00A34CAE"/>
    <w:rsid w:val="00A35BEF"/>
    <w:rsid w:val="00A41A69"/>
    <w:rsid w:val="00A5301A"/>
    <w:rsid w:val="00AA5ABC"/>
    <w:rsid w:val="00AB19CA"/>
    <w:rsid w:val="00AC6196"/>
    <w:rsid w:val="00AC66F4"/>
    <w:rsid w:val="00AE21B2"/>
    <w:rsid w:val="00AE7535"/>
    <w:rsid w:val="00AF06A9"/>
    <w:rsid w:val="00B00E50"/>
    <w:rsid w:val="00B0186C"/>
    <w:rsid w:val="00B0410D"/>
    <w:rsid w:val="00B04D18"/>
    <w:rsid w:val="00B1750E"/>
    <w:rsid w:val="00B72E0E"/>
    <w:rsid w:val="00B77579"/>
    <w:rsid w:val="00B919D9"/>
    <w:rsid w:val="00B92014"/>
    <w:rsid w:val="00C07731"/>
    <w:rsid w:val="00C324D0"/>
    <w:rsid w:val="00C617A5"/>
    <w:rsid w:val="00C91606"/>
    <w:rsid w:val="00C92250"/>
    <w:rsid w:val="00CB147A"/>
    <w:rsid w:val="00CB7B51"/>
    <w:rsid w:val="00CD477E"/>
    <w:rsid w:val="00D3488E"/>
    <w:rsid w:val="00D420D6"/>
    <w:rsid w:val="00D479E9"/>
    <w:rsid w:val="00D75AFE"/>
    <w:rsid w:val="00D8283B"/>
    <w:rsid w:val="00D91C38"/>
    <w:rsid w:val="00DC2AFE"/>
    <w:rsid w:val="00DD4065"/>
    <w:rsid w:val="00DD73BC"/>
    <w:rsid w:val="00DE088F"/>
    <w:rsid w:val="00DF2B54"/>
    <w:rsid w:val="00DF3995"/>
    <w:rsid w:val="00E21E21"/>
    <w:rsid w:val="00E52079"/>
    <w:rsid w:val="00E520DE"/>
    <w:rsid w:val="00E75E76"/>
    <w:rsid w:val="00E80C61"/>
    <w:rsid w:val="00EA26D9"/>
    <w:rsid w:val="00EB5E6B"/>
    <w:rsid w:val="00EC20B3"/>
    <w:rsid w:val="00EE0130"/>
    <w:rsid w:val="00EE0AA2"/>
    <w:rsid w:val="00EE5376"/>
    <w:rsid w:val="00F07F8F"/>
    <w:rsid w:val="00F1495D"/>
    <w:rsid w:val="00F16C3D"/>
    <w:rsid w:val="00F42923"/>
    <w:rsid w:val="00F57050"/>
    <w:rsid w:val="00F60E99"/>
    <w:rsid w:val="00F60F6E"/>
    <w:rsid w:val="00F856FD"/>
    <w:rsid w:val="00F93100"/>
    <w:rsid w:val="00F95694"/>
    <w:rsid w:val="00F96114"/>
    <w:rsid w:val="00F97459"/>
    <w:rsid w:val="00FA1C12"/>
    <w:rsid w:val="00FC5534"/>
    <w:rsid w:val="00FE316D"/>
    <w:rsid w:val="010F451D"/>
    <w:rsid w:val="01A11544"/>
    <w:rsid w:val="01F33394"/>
    <w:rsid w:val="02F16BE3"/>
    <w:rsid w:val="052D0AB2"/>
    <w:rsid w:val="06FF6413"/>
    <w:rsid w:val="072F2A91"/>
    <w:rsid w:val="0732575C"/>
    <w:rsid w:val="080E209C"/>
    <w:rsid w:val="0854142C"/>
    <w:rsid w:val="089D5EE4"/>
    <w:rsid w:val="08AD41A2"/>
    <w:rsid w:val="08B43452"/>
    <w:rsid w:val="0A6C1EC8"/>
    <w:rsid w:val="0AB84DC0"/>
    <w:rsid w:val="0B38631C"/>
    <w:rsid w:val="0B882215"/>
    <w:rsid w:val="0B8A5B80"/>
    <w:rsid w:val="0E4D215A"/>
    <w:rsid w:val="0FC55D7F"/>
    <w:rsid w:val="107F3085"/>
    <w:rsid w:val="125104B3"/>
    <w:rsid w:val="128A1310"/>
    <w:rsid w:val="13386F35"/>
    <w:rsid w:val="14F450DE"/>
    <w:rsid w:val="15EB4733"/>
    <w:rsid w:val="16632F9F"/>
    <w:rsid w:val="17776AE9"/>
    <w:rsid w:val="183D4FEE"/>
    <w:rsid w:val="190B3181"/>
    <w:rsid w:val="19E41BC5"/>
    <w:rsid w:val="1B4A18FD"/>
    <w:rsid w:val="1E477DEA"/>
    <w:rsid w:val="1EDA1BA9"/>
    <w:rsid w:val="1EE71F44"/>
    <w:rsid w:val="21347BB6"/>
    <w:rsid w:val="216D6C10"/>
    <w:rsid w:val="2177331E"/>
    <w:rsid w:val="224F5BC5"/>
    <w:rsid w:val="22D23DB2"/>
    <w:rsid w:val="239F6B5C"/>
    <w:rsid w:val="243B1A1F"/>
    <w:rsid w:val="24E6143D"/>
    <w:rsid w:val="25D54386"/>
    <w:rsid w:val="26B91CE3"/>
    <w:rsid w:val="285C5EBA"/>
    <w:rsid w:val="28E70C53"/>
    <w:rsid w:val="2B2F4C6A"/>
    <w:rsid w:val="2B55472E"/>
    <w:rsid w:val="2BB37649"/>
    <w:rsid w:val="2BE86532"/>
    <w:rsid w:val="2C182D84"/>
    <w:rsid w:val="2C6D7D9F"/>
    <w:rsid w:val="2D4034BB"/>
    <w:rsid w:val="2EB05BFE"/>
    <w:rsid w:val="306C7DC6"/>
    <w:rsid w:val="328A237E"/>
    <w:rsid w:val="32EB5136"/>
    <w:rsid w:val="331E6693"/>
    <w:rsid w:val="335A5948"/>
    <w:rsid w:val="33D40F6F"/>
    <w:rsid w:val="344C3DB1"/>
    <w:rsid w:val="34660E35"/>
    <w:rsid w:val="361B02C4"/>
    <w:rsid w:val="365B2DB7"/>
    <w:rsid w:val="36645FF4"/>
    <w:rsid w:val="394D0F3D"/>
    <w:rsid w:val="3A094353"/>
    <w:rsid w:val="3A4E6DA8"/>
    <w:rsid w:val="3A5F33D9"/>
    <w:rsid w:val="3AC22D08"/>
    <w:rsid w:val="3AC27285"/>
    <w:rsid w:val="3B9F5F65"/>
    <w:rsid w:val="3CE7625B"/>
    <w:rsid w:val="3CE93AF0"/>
    <w:rsid w:val="3FC2272E"/>
    <w:rsid w:val="3FF86477"/>
    <w:rsid w:val="40805871"/>
    <w:rsid w:val="41CF4659"/>
    <w:rsid w:val="42500A1E"/>
    <w:rsid w:val="425A2175"/>
    <w:rsid w:val="434B5F61"/>
    <w:rsid w:val="436A26AC"/>
    <w:rsid w:val="43A51B15"/>
    <w:rsid w:val="43B371D1"/>
    <w:rsid w:val="44911952"/>
    <w:rsid w:val="454B4D3C"/>
    <w:rsid w:val="45C1250B"/>
    <w:rsid w:val="4698770F"/>
    <w:rsid w:val="46DB7B3E"/>
    <w:rsid w:val="478A7F36"/>
    <w:rsid w:val="48D72771"/>
    <w:rsid w:val="4944592C"/>
    <w:rsid w:val="49A511F2"/>
    <w:rsid w:val="4A564A44"/>
    <w:rsid w:val="4AB846DE"/>
    <w:rsid w:val="4CB004F2"/>
    <w:rsid w:val="4CE97B9E"/>
    <w:rsid w:val="4EBD6C56"/>
    <w:rsid w:val="4F445001"/>
    <w:rsid w:val="4F452C98"/>
    <w:rsid w:val="50D86C98"/>
    <w:rsid w:val="50FE517D"/>
    <w:rsid w:val="519C7212"/>
    <w:rsid w:val="51C54ED4"/>
    <w:rsid w:val="522F38A0"/>
    <w:rsid w:val="52501ABC"/>
    <w:rsid w:val="527D20E1"/>
    <w:rsid w:val="528724A2"/>
    <w:rsid w:val="546E346F"/>
    <w:rsid w:val="550F2F99"/>
    <w:rsid w:val="56BD0A67"/>
    <w:rsid w:val="56FA587C"/>
    <w:rsid w:val="59445254"/>
    <w:rsid w:val="5AD511A6"/>
    <w:rsid w:val="5C1318BA"/>
    <w:rsid w:val="5C1620DB"/>
    <w:rsid w:val="5C4F6665"/>
    <w:rsid w:val="5D7F6ADB"/>
    <w:rsid w:val="5DFA24BB"/>
    <w:rsid w:val="5ECE2C44"/>
    <w:rsid w:val="622F6EB3"/>
    <w:rsid w:val="62A753B8"/>
    <w:rsid w:val="676254A4"/>
    <w:rsid w:val="67A6239B"/>
    <w:rsid w:val="67E20393"/>
    <w:rsid w:val="68393F69"/>
    <w:rsid w:val="685D18A4"/>
    <w:rsid w:val="68E33E82"/>
    <w:rsid w:val="6AC02C0D"/>
    <w:rsid w:val="6B15674B"/>
    <w:rsid w:val="6BC951EB"/>
    <w:rsid w:val="6BDB3A77"/>
    <w:rsid w:val="6C652F03"/>
    <w:rsid w:val="6F35349E"/>
    <w:rsid w:val="6FE96576"/>
    <w:rsid w:val="712E4224"/>
    <w:rsid w:val="76C96E5F"/>
    <w:rsid w:val="77185A2D"/>
    <w:rsid w:val="772067E2"/>
    <w:rsid w:val="78971654"/>
    <w:rsid w:val="78C80EDF"/>
    <w:rsid w:val="7907445A"/>
    <w:rsid w:val="794B3BE9"/>
    <w:rsid w:val="7A515502"/>
    <w:rsid w:val="7A7C1B63"/>
    <w:rsid w:val="7C864C38"/>
    <w:rsid w:val="7E865AC4"/>
    <w:rsid w:val="7E8A55B4"/>
    <w:rsid w:val="7F6828ED"/>
    <w:rsid w:val="7FE16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F052EB5"/>
  <w15:docId w15:val="{B1C253E8-C4D8-42F9-ABC6-967C5C8CC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jc w:val="both"/>
    </w:pPr>
    <w:rPr>
      <w:rFonts w:ascii="Times New Roman" w:hAnsi="Times New Roman"/>
      <w:kern w:val="2"/>
      <w:sz w:val="21"/>
      <w:szCs w:val="24"/>
    </w:rPr>
  </w:style>
  <w:style w:type="paragraph" w:styleId="3">
    <w:name w:val="heading 3"/>
    <w:basedOn w:val="a"/>
    <w:next w:val="a"/>
    <w:unhideWhenUsed/>
    <w:qFormat/>
    <w:pPr>
      <w:spacing w:before="100" w:beforeAutospacing="1" w:after="100" w:afterAutospacing="1"/>
      <w:jc w:val="left"/>
      <w:outlineLvl w:val="2"/>
    </w:pPr>
    <w:rPr>
      <w:rFonts w:ascii="宋体" w:hAnsi="宋体" w:hint="eastAsia"/>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pPr>
      <w:overflowPunct w:val="0"/>
      <w:autoSpaceDE w:val="0"/>
      <w:autoSpaceDN w:val="0"/>
      <w:adjustRightInd w:val="0"/>
      <w:spacing w:before="1200" w:line="20" w:lineRule="exact"/>
      <w:textAlignment w:val="baseline"/>
    </w:pPr>
    <w:rPr>
      <w:rFonts w:ascii="仿宋_GB2312" w:eastAsia="仿宋_GB2312"/>
      <w:kern w:val="0"/>
      <w:sz w:val="30"/>
      <w:szCs w:val="2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qFormat/>
    <w:pPr>
      <w:pBdr>
        <w:bottom w:val="single" w:sz="6" w:space="1" w:color="000000"/>
      </w:pBdr>
      <w:tabs>
        <w:tab w:val="center" w:pos="4153"/>
        <w:tab w:val="right" w:pos="8306"/>
      </w:tabs>
      <w:snapToGrid w:val="0"/>
      <w:jc w:val="center"/>
    </w:pPr>
    <w:rPr>
      <w:sz w:val="18"/>
      <w:szCs w:val="18"/>
    </w:rPr>
  </w:style>
  <w:style w:type="paragraph" w:styleId="a9">
    <w:name w:val="Normal (Web)"/>
    <w:basedOn w:val="a"/>
    <w:unhideWhenUsed/>
    <w:qFormat/>
    <w:pPr>
      <w:widowControl w:val="0"/>
      <w:spacing w:beforeAutospacing="1" w:afterAutospacing="1"/>
      <w:jc w:val="left"/>
    </w:pPr>
    <w:rPr>
      <w:rFonts w:ascii="Calibri" w:hAnsi="Calibri"/>
      <w:kern w:val="0"/>
      <w:sz w:val="24"/>
    </w:rPr>
  </w:style>
  <w:style w:type="table" w:styleId="aa">
    <w:name w:val="Table Grid"/>
    <w:basedOn w:val="a2"/>
    <w:uiPriority w:val="99"/>
    <w:unhideWhenUsed/>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1"/>
    <w:qFormat/>
    <w:rPr>
      <w:b/>
    </w:rPr>
  </w:style>
  <w:style w:type="character" w:styleId="ac">
    <w:name w:val="page number"/>
    <w:basedOn w:val="a1"/>
    <w:qFormat/>
  </w:style>
  <w:style w:type="character" w:styleId="ad">
    <w:name w:val="Emphasis"/>
    <w:qFormat/>
    <w:rPr>
      <w:color w:val="CC0000"/>
      <w:sz w:val="24"/>
      <w:szCs w:val="24"/>
    </w:rPr>
  </w:style>
  <w:style w:type="character" w:styleId="ae">
    <w:name w:val="Hyperlink"/>
    <w:basedOn w:val="a1"/>
    <w:qFormat/>
    <w:rPr>
      <w:color w:val="0000FF"/>
      <w:u w:val="single"/>
    </w:rPr>
  </w:style>
  <w:style w:type="character" w:customStyle="1" w:styleId="NormalCharacter">
    <w:name w:val="NormalCharacter"/>
    <w:link w:val="UserStyle0"/>
    <w:qFormat/>
  </w:style>
  <w:style w:type="paragraph" w:customStyle="1" w:styleId="UserStyle0">
    <w:name w:val="UserStyle_0"/>
    <w:basedOn w:val="a"/>
    <w:link w:val="NormalCharacter"/>
    <w:qFormat/>
  </w:style>
  <w:style w:type="table" w:customStyle="1" w:styleId="TableNormal">
    <w:name w:val="TableNormal"/>
    <w:semiHidden/>
    <w:qFormat/>
    <w:tblPr>
      <w:tblCellMar>
        <w:top w:w="0" w:type="dxa"/>
        <w:left w:w="0" w:type="dxa"/>
        <w:bottom w:w="0" w:type="dxa"/>
        <w:right w:w="0" w:type="dxa"/>
      </w:tblCellMar>
    </w:tblPr>
  </w:style>
  <w:style w:type="character" w:customStyle="1" w:styleId="PageNumber">
    <w:name w:val="PageNumber"/>
    <w:basedOn w:val="NormalCharacter"/>
    <w:qFormat/>
  </w:style>
  <w:style w:type="paragraph" w:customStyle="1" w:styleId="BodyText">
    <w:name w:val="BodyText"/>
    <w:basedOn w:val="a"/>
    <w:qFormat/>
    <w:pPr>
      <w:spacing w:after="120"/>
    </w:pPr>
  </w:style>
  <w:style w:type="paragraph" w:customStyle="1" w:styleId="BodyTextIndent">
    <w:name w:val="BodyTextIndent"/>
    <w:basedOn w:val="a"/>
    <w:qFormat/>
    <w:pPr>
      <w:ind w:firstLineChars="200" w:firstLine="640"/>
    </w:pPr>
    <w:rPr>
      <w:rFonts w:eastAsia="黑体"/>
      <w:sz w:val="32"/>
    </w:rPr>
  </w:style>
  <w:style w:type="paragraph" w:customStyle="1" w:styleId="Acetate">
    <w:name w:val="Acetate"/>
    <w:basedOn w:val="a"/>
    <w:qFormat/>
    <w:rPr>
      <w:sz w:val="18"/>
      <w:szCs w:val="18"/>
    </w:rPr>
  </w:style>
  <w:style w:type="paragraph" w:customStyle="1" w:styleId="HtmlNormal">
    <w:name w:val="HtmlNormal"/>
    <w:basedOn w:val="a"/>
    <w:qFormat/>
    <w:pPr>
      <w:spacing w:before="100" w:beforeAutospacing="1" w:after="100" w:afterAutospacing="1"/>
    </w:pPr>
    <w:rPr>
      <w:rFonts w:ascii="宋体" w:hAnsi="宋体"/>
      <w:sz w:val="24"/>
      <w:szCs w:val="22"/>
    </w:rPr>
  </w:style>
  <w:style w:type="paragraph" w:customStyle="1" w:styleId="UserStyle1">
    <w:name w:val="UserStyle_1"/>
    <w:basedOn w:val="a"/>
    <w:qFormat/>
    <w:pPr>
      <w:spacing w:line="365" w:lineRule="atLeast"/>
      <w:ind w:left="1"/>
    </w:pPr>
    <w:rPr>
      <w:kern w:val="0"/>
      <w:sz w:val="20"/>
      <w:szCs w:val="20"/>
    </w:rPr>
  </w:style>
  <w:style w:type="paragraph" w:customStyle="1" w:styleId="UserStyle2">
    <w:name w:val="UserStyle_2"/>
    <w:basedOn w:val="a"/>
    <w:qFormat/>
    <w:pPr>
      <w:ind w:firstLineChars="200" w:firstLine="420"/>
    </w:pPr>
  </w:style>
  <w:style w:type="table" w:customStyle="1" w:styleId="TableGrid">
    <w:name w:val="TableGrid"/>
    <w:basedOn w:val="TableNormal"/>
    <w:qFormat/>
    <w:tblPr/>
  </w:style>
  <w:style w:type="paragraph" w:customStyle="1" w:styleId="Char">
    <w:name w:val="Char"/>
    <w:basedOn w:val="a"/>
    <w:qFormat/>
    <w:pPr>
      <w:widowControl w:val="0"/>
    </w:pPr>
  </w:style>
  <w:style w:type="character" w:customStyle="1" w:styleId="a7">
    <w:name w:val="页脚 字符"/>
    <w:basedOn w:val="a1"/>
    <w:link w:val="a6"/>
    <w:uiPriority w:val="99"/>
    <w:qFormat/>
    <w:rPr>
      <w:kern w:val="2"/>
      <w:sz w:val="18"/>
      <w:szCs w:val="18"/>
    </w:rPr>
  </w:style>
  <w:style w:type="paragraph" w:customStyle="1" w:styleId="Char1">
    <w:name w:val="Char1"/>
    <w:basedOn w:val="a"/>
    <w:qFormat/>
    <w:pPr>
      <w:widowControl w:val="0"/>
    </w:pPr>
  </w:style>
  <w:style w:type="paragraph" w:customStyle="1" w:styleId="Char2">
    <w:name w:val="Char2"/>
    <w:basedOn w:val="a"/>
    <w:qFormat/>
    <w:pPr>
      <w:widowControl w:val="0"/>
    </w:pPr>
  </w:style>
  <w:style w:type="paragraph" w:customStyle="1" w:styleId="Char3">
    <w:name w:val="Char3"/>
    <w:basedOn w:val="a"/>
    <w:qFormat/>
    <w:pPr>
      <w:widowControl w:val="0"/>
    </w:pPr>
  </w:style>
  <w:style w:type="paragraph" w:customStyle="1" w:styleId="Char4">
    <w:name w:val="Char4"/>
    <w:basedOn w:val="a"/>
    <w:qFormat/>
    <w:pPr>
      <w:widowControl w:val="0"/>
    </w:pPr>
  </w:style>
  <w:style w:type="paragraph" w:customStyle="1" w:styleId="Char5">
    <w:name w:val="Char5"/>
    <w:basedOn w:val="a"/>
    <w:qFormat/>
    <w:pPr>
      <w:widowControl w:val="0"/>
    </w:pPr>
  </w:style>
  <w:style w:type="character" w:customStyle="1" w:styleId="a5">
    <w:name w:val="批注框文本 字符"/>
    <w:basedOn w:val="a1"/>
    <w:link w:val="a4"/>
    <w:uiPriority w:val="99"/>
    <w:semiHidden/>
    <w:qFormat/>
    <w:rPr>
      <w:kern w:val="2"/>
      <w:sz w:val="18"/>
      <w:szCs w:val="18"/>
    </w:rPr>
  </w:style>
  <w:style w:type="paragraph" w:customStyle="1" w:styleId="Char6">
    <w:name w:val="Char6"/>
    <w:basedOn w:val="a"/>
    <w:qFormat/>
    <w:pPr>
      <w:widowControl w:val="0"/>
    </w:pPr>
  </w:style>
  <w:style w:type="paragraph" w:customStyle="1" w:styleId="Char7">
    <w:name w:val="Char7"/>
    <w:basedOn w:val="a"/>
    <w:qFormat/>
    <w:pPr>
      <w:widowControl w:val="0"/>
    </w:pPr>
  </w:style>
  <w:style w:type="paragraph" w:customStyle="1" w:styleId="Char8">
    <w:name w:val="Char8"/>
    <w:basedOn w:val="a"/>
    <w:qFormat/>
    <w:pPr>
      <w:widowControl w:val="0"/>
    </w:pPr>
  </w:style>
  <w:style w:type="paragraph" w:customStyle="1" w:styleId="179">
    <w:name w:val="179"/>
    <w:basedOn w:val="a"/>
    <w:qFormat/>
    <w:pPr>
      <w:ind w:firstLineChars="200" w:firstLine="420"/>
      <w:textAlignment w:val="baseline"/>
    </w:pPr>
    <w:rPr>
      <w:rFonts w:ascii="Calibri" w:hAnsi="Calibri"/>
      <w:szCs w:val="22"/>
    </w:rPr>
  </w:style>
  <w:style w:type="paragraph" w:customStyle="1" w:styleId="Char9">
    <w:name w:val="Char9"/>
    <w:basedOn w:val="a"/>
    <w:qFormat/>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904AAA-12A1-4E79-BD85-E3EEC2784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528</Words>
  <Characters>3011</Characters>
  <Application>Microsoft Office Word</Application>
  <DocSecurity>0</DocSecurity>
  <Lines>25</Lines>
  <Paragraphs>7</Paragraphs>
  <ScaleCrop>false</ScaleCrop>
  <Company>Toshiba</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cp:lastPrinted>2022-03-15T07:45:00Z</cp:lastPrinted>
  <dcterms:created xsi:type="dcterms:W3CDTF">2022-12-07T11:13:00Z</dcterms:created>
  <dcterms:modified xsi:type="dcterms:W3CDTF">2022-12-07T11:13:00Z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015898C77367449DBF7AAA63E9544992</vt:lpwstr>
  </property>
</Properties>
</file>